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211" w:rsidRDefault="001B7211" w:rsidP="001B7211">
      <w:pPr>
        <w:pStyle w:val="paragraph"/>
        <w:spacing w:before="0" w:beforeAutospacing="0" w:after="0" w:afterAutospacing="0"/>
        <w:textAlignment w:val="baseline"/>
        <w:rPr>
          <w:rFonts w:ascii="Calibri" w:hAnsi="Calibri" w:cs="Calibri"/>
          <w:b/>
          <w:bCs/>
          <w:color w:val="4471C4"/>
          <w:sz w:val="22"/>
          <w:szCs w:val="22"/>
        </w:rPr>
      </w:pPr>
      <w:r>
        <w:rPr>
          <w:lang w:val="en-US"/>
        </w:rPr>
        <w:t>English First Peoples 12 (Winter 2024)</w:t>
      </w:r>
      <w:r>
        <w:rPr>
          <w:lang w:val="en-US"/>
        </w:rPr>
        <w:br/>
      </w:r>
      <w:r w:rsidRPr="001B7211">
        <w:rPr>
          <w:i/>
          <w:lang w:val="en-US"/>
        </w:rPr>
        <w:t>Room</w:t>
      </w:r>
      <w:r w:rsidR="00F422CE">
        <w:rPr>
          <w:i/>
          <w:lang w:val="en-US"/>
        </w:rPr>
        <w:t xml:space="preserve"> 114</w:t>
      </w:r>
      <w:r>
        <w:rPr>
          <w:lang w:val="en-US"/>
        </w:rPr>
        <w:br/>
      </w:r>
      <w:r w:rsidRPr="001B7211">
        <w:rPr>
          <w:i/>
          <w:lang w:val="en-US"/>
        </w:rPr>
        <w:t xml:space="preserve">Period 3, 12:35-2:05 pm (Wednesdays 12:05-1:20 pm) </w:t>
      </w:r>
      <w:r>
        <w:rPr>
          <w:i/>
          <w:lang w:val="en-US"/>
        </w:rPr>
        <w:br/>
      </w:r>
      <w:r>
        <w:rPr>
          <w:i/>
          <w:lang w:val="en-US"/>
        </w:rPr>
        <w:br/>
      </w:r>
      <w:r>
        <w:rPr>
          <w:lang w:val="en-US"/>
        </w:rPr>
        <w:t xml:space="preserve">Teacher: Miss </w:t>
      </w:r>
      <w:r w:rsidR="00FA417B">
        <w:rPr>
          <w:lang w:val="en-US"/>
        </w:rPr>
        <w:t xml:space="preserve">Yvonne </w:t>
      </w:r>
      <w:r>
        <w:rPr>
          <w:lang w:val="en-US"/>
        </w:rPr>
        <w:t>Yu</w:t>
      </w:r>
      <w:r>
        <w:rPr>
          <w:lang w:val="en-US"/>
        </w:rPr>
        <w:br/>
        <w:t xml:space="preserve">Email: </w:t>
      </w:r>
      <w:hyperlink r:id="rId5" w:history="1">
        <w:r w:rsidR="005D21DF" w:rsidRPr="00725F7C">
          <w:rPr>
            <w:rStyle w:val="Hyperlink"/>
            <w:lang w:val="en-US"/>
          </w:rPr>
          <w:t>yvonne.yu@pattisonhighschool.ca</w:t>
        </w:r>
      </w:hyperlink>
      <w:r>
        <w:rPr>
          <w:lang w:val="en-US"/>
        </w:rPr>
        <w:br/>
      </w:r>
      <w:r>
        <w:rPr>
          <w:lang w:val="en-US"/>
        </w:rPr>
        <w:br/>
      </w:r>
      <w:r>
        <w:rPr>
          <w:rFonts w:ascii="Calibri" w:hAnsi="Calibri" w:cs="Calibri"/>
          <w:b/>
          <w:bCs/>
          <w:color w:val="4471C4"/>
          <w:sz w:val="22"/>
          <w:szCs w:val="22"/>
        </w:rPr>
        <w:t>Course Description</w:t>
      </w:r>
      <w:r>
        <w:rPr>
          <w:rFonts w:ascii="Calibri" w:hAnsi="Calibri" w:cs="Calibri"/>
          <w:b/>
          <w:bCs/>
          <w:color w:val="4471C4"/>
          <w:sz w:val="22"/>
          <w:szCs w:val="22"/>
        </w:rPr>
        <w:br/>
      </w:r>
      <w:r w:rsidRPr="00B6183B">
        <w:rPr>
          <w:rFonts w:ascii="Calibri" w:hAnsi="Calibri" w:cs="Calibri"/>
          <w:bCs/>
          <w:color w:val="000000" w:themeColor="text1"/>
          <w:sz w:val="22"/>
          <w:szCs w:val="22"/>
        </w:rPr>
        <w:t>English First Peoples 12 is a course that teaches the skills and fundamentals of English 12 using indigenous Canadian texts and sources. Students will explore different perspectives, forms, and genres of indigenous Canadian writing and understand the purposes and voices of various authors, writers, filmmakers, and poets.</w:t>
      </w:r>
      <w:r w:rsidR="00FA417B" w:rsidRPr="00B6183B">
        <w:rPr>
          <w:rFonts w:ascii="Calibri" w:hAnsi="Calibri" w:cs="Calibri"/>
          <w:bCs/>
          <w:color w:val="000000" w:themeColor="text1"/>
          <w:sz w:val="22"/>
          <w:szCs w:val="22"/>
        </w:rPr>
        <w:t xml:space="preserve"> They will examine colonial and post-colonial issues that affected indigenous Canadians.</w:t>
      </w:r>
      <w:r w:rsidRPr="00B6183B">
        <w:rPr>
          <w:rFonts w:ascii="Calibri" w:hAnsi="Calibri" w:cs="Calibri"/>
          <w:bCs/>
          <w:color w:val="000000" w:themeColor="text1"/>
          <w:sz w:val="22"/>
          <w:szCs w:val="22"/>
        </w:rPr>
        <w:t xml:space="preserve"> They will </w:t>
      </w:r>
      <w:r w:rsidR="00FA417B" w:rsidRPr="00B6183B">
        <w:rPr>
          <w:rFonts w:ascii="Calibri" w:hAnsi="Calibri" w:cs="Calibri"/>
          <w:bCs/>
          <w:color w:val="000000" w:themeColor="text1"/>
          <w:sz w:val="22"/>
          <w:szCs w:val="22"/>
        </w:rPr>
        <w:t xml:space="preserve">also </w:t>
      </w:r>
      <w:r w:rsidRPr="00B6183B">
        <w:rPr>
          <w:rFonts w:ascii="Calibri" w:hAnsi="Calibri" w:cs="Calibri"/>
          <w:bCs/>
          <w:color w:val="000000" w:themeColor="text1"/>
          <w:sz w:val="22"/>
          <w:szCs w:val="22"/>
        </w:rPr>
        <w:t xml:space="preserve">develop their writing skills in preparation for post-secondary English classes while expanding their ability to critically think, analyze, interpret, assess, and communicate about various </w:t>
      </w:r>
      <w:r w:rsidR="00FA417B" w:rsidRPr="00B6183B">
        <w:rPr>
          <w:rFonts w:ascii="Calibri" w:hAnsi="Calibri" w:cs="Calibri"/>
          <w:bCs/>
          <w:color w:val="000000" w:themeColor="text1"/>
          <w:sz w:val="22"/>
          <w:szCs w:val="22"/>
        </w:rPr>
        <w:t xml:space="preserve">topics and </w:t>
      </w:r>
      <w:r w:rsidRPr="00B6183B">
        <w:rPr>
          <w:rFonts w:ascii="Calibri" w:hAnsi="Calibri" w:cs="Calibri"/>
          <w:bCs/>
          <w:color w:val="000000" w:themeColor="text1"/>
          <w:sz w:val="22"/>
          <w:szCs w:val="22"/>
        </w:rPr>
        <w:t xml:space="preserve">issues. </w:t>
      </w:r>
      <w:r>
        <w:rPr>
          <w:rFonts w:ascii="Calibri" w:hAnsi="Calibri" w:cs="Calibri"/>
          <w:b/>
          <w:bCs/>
          <w:color w:val="4471C4"/>
          <w:sz w:val="22"/>
          <w:szCs w:val="22"/>
        </w:rPr>
        <w:br/>
      </w:r>
    </w:p>
    <w:p w:rsidR="001B7211" w:rsidRPr="001B7211" w:rsidRDefault="001B7211" w:rsidP="001B7211">
      <w:pPr>
        <w:pStyle w:val="paragraph"/>
        <w:spacing w:before="0" w:beforeAutospacing="0" w:after="0" w:afterAutospacing="0"/>
        <w:textAlignment w:val="baseline"/>
        <w:rPr>
          <w:rFonts w:ascii="Segoe UI" w:hAnsi="Segoe UI" w:cs="Segoe UI"/>
          <w:sz w:val="18"/>
          <w:szCs w:val="18"/>
        </w:rPr>
      </w:pPr>
      <w:bookmarkStart w:id="0" w:name="_Hlk155909462"/>
      <w:r w:rsidRPr="001B7211">
        <w:rPr>
          <w:rFonts w:ascii="Calibri" w:hAnsi="Calibri" w:cs="Calibri"/>
          <w:b/>
          <w:bCs/>
          <w:color w:val="4471C4"/>
          <w:sz w:val="22"/>
          <w:szCs w:val="22"/>
        </w:rPr>
        <w:t>Big Ideas</w:t>
      </w:r>
      <w:r w:rsidRPr="001B7211">
        <w:rPr>
          <w:rFonts w:ascii="Calibri" w:eastAsiaTheme="majorEastAsia" w:hAnsi="Calibri" w:cs="Calibri"/>
          <w:color w:val="4471C4"/>
          <w:sz w:val="22"/>
          <w:szCs w:val="22"/>
        </w:rPr>
        <w:t> </w:t>
      </w:r>
      <w:bookmarkEnd w:id="0"/>
      <w:r>
        <w:rPr>
          <w:rFonts w:ascii="Calibri" w:hAnsi="Calibri" w:cs="Calibri"/>
          <w:color w:val="4471C4"/>
          <w:sz w:val="22"/>
          <w:szCs w:val="22"/>
        </w:rPr>
        <w:br/>
      </w:r>
    </w:p>
    <w:tbl>
      <w:tblPr>
        <w:tblW w:w="8055" w:type="dxa"/>
        <w:tblInd w:w="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1653"/>
        <w:gridCol w:w="1530"/>
        <w:gridCol w:w="1578"/>
        <w:gridCol w:w="1657"/>
      </w:tblGrid>
      <w:tr w:rsidR="001B7211" w:rsidRPr="001B7211" w:rsidTr="001B7211">
        <w:trPr>
          <w:trHeight w:val="300"/>
        </w:trPr>
        <w:tc>
          <w:tcPr>
            <w:tcW w:w="1637"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1B7211" w:rsidRPr="001B7211" w:rsidRDefault="001B7211" w:rsidP="001B7211">
            <w:pPr>
              <w:spacing w:after="0" w:line="240" w:lineRule="auto"/>
              <w:jc w:val="center"/>
              <w:textAlignment w:val="baseline"/>
              <w:rPr>
                <w:rFonts w:ascii="Times New Roman" w:eastAsia="Times New Roman" w:hAnsi="Times New Roman" w:cs="Times New Roman"/>
                <w:sz w:val="24"/>
                <w:szCs w:val="24"/>
                <w:lang w:eastAsia="en-CA"/>
              </w:rPr>
            </w:pPr>
            <w:r w:rsidRPr="001B7211">
              <w:rPr>
                <w:rFonts w:ascii="Calibri" w:eastAsia="Times New Roman" w:hAnsi="Calibri" w:cs="Calibri"/>
                <w:b/>
                <w:bCs/>
                <w:sz w:val="20"/>
                <w:szCs w:val="20"/>
                <w:lang w:val="en-US" w:eastAsia="en-CA"/>
              </w:rPr>
              <w:t>The exploration of text and story deepens our understanding of diverse, complex ideas about identity, others, and the world.</w:t>
            </w:r>
            <w:r w:rsidRPr="001B7211">
              <w:rPr>
                <w:rFonts w:ascii="Calibri" w:eastAsia="Times New Roman" w:hAnsi="Calibri" w:cs="Calibri"/>
                <w:sz w:val="20"/>
                <w:szCs w:val="20"/>
                <w:lang w:eastAsia="en-CA"/>
              </w:rPr>
              <w:t> </w:t>
            </w:r>
          </w:p>
        </w:tc>
        <w:tc>
          <w:tcPr>
            <w:tcW w:w="1653"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1B7211" w:rsidRPr="001B7211" w:rsidRDefault="001B7211" w:rsidP="001B7211">
            <w:pPr>
              <w:spacing w:after="0" w:line="240" w:lineRule="auto"/>
              <w:jc w:val="center"/>
              <w:textAlignment w:val="baseline"/>
              <w:rPr>
                <w:rFonts w:ascii="Times New Roman" w:eastAsia="Times New Roman" w:hAnsi="Times New Roman" w:cs="Times New Roman"/>
                <w:sz w:val="24"/>
                <w:szCs w:val="24"/>
                <w:lang w:eastAsia="en-CA"/>
              </w:rPr>
            </w:pPr>
            <w:r w:rsidRPr="001B7211">
              <w:rPr>
                <w:rFonts w:ascii="Calibri" w:eastAsia="Times New Roman" w:hAnsi="Calibri" w:cs="Calibri"/>
                <w:b/>
                <w:bCs/>
                <w:sz w:val="20"/>
                <w:szCs w:val="20"/>
                <w:lang w:val="en-US" w:eastAsia="en-CA"/>
              </w:rPr>
              <w:t>Texts are socially, culturally, geographically, and historically constructed.</w:t>
            </w:r>
            <w:r w:rsidRPr="001B7211">
              <w:rPr>
                <w:rFonts w:ascii="Calibri" w:eastAsia="Times New Roman" w:hAnsi="Calibri" w:cs="Calibri"/>
                <w:sz w:val="20"/>
                <w:szCs w:val="20"/>
                <w:lang w:eastAsia="en-CA"/>
              </w:rPr>
              <w:t> </w:t>
            </w:r>
          </w:p>
        </w:tc>
        <w:tc>
          <w:tcPr>
            <w:tcW w:w="153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1B7211" w:rsidRPr="001B7211" w:rsidRDefault="001B7211" w:rsidP="001B7211">
            <w:pPr>
              <w:spacing w:after="0" w:line="240" w:lineRule="auto"/>
              <w:jc w:val="center"/>
              <w:textAlignment w:val="baseline"/>
              <w:rPr>
                <w:rFonts w:ascii="Times New Roman" w:eastAsia="Times New Roman" w:hAnsi="Times New Roman" w:cs="Times New Roman"/>
                <w:sz w:val="24"/>
                <w:szCs w:val="24"/>
                <w:lang w:eastAsia="en-CA"/>
              </w:rPr>
            </w:pPr>
            <w:r w:rsidRPr="001B7211">
              <w:rPr>
                <w:rFonts w:ascii="Calibri" w:eastAsia="Times New Roman" w:hAnsi="Calibri" w:cs="Calibri"/>
                <w:b/>
                <w:bCs/>
                <w:sz w:val="20"/>
                <w:szCs w:val="20"/>
                <w:lang w:val="en-US" w:eastAsia="en-CA"/>
              </w:rPr>
              <w:t>Language shapes ideas and influences others.</w:t>
            </w:r>
            <w:r w:rsidRPr="001B7211">
              <w:rPr>
                <w:rFonts w:ascii="Calibri" w:eastAsia="Times New Roman" w:hAnsi="Calibri" w:cs="Calibri"/>
                <w:sz w:val="20"/>
                <w:szCs w:val="20"/>
                <w:lang w:eastAsia="en-CA"/>
              </w:rPr>
              <w:t> </w:t>
            </w:r>
          </w:p>
        </w:tc>
        <w:tc>
          <w:tcPr>
            <w:tcW w:w="1578"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1B7211" w:rsidRPr="001B7211" w:rsidRDefault="001B7211" w:rsidP="001B7211">
            <w:pPr>
              <w:spacing w:after="0" w:line="240" w:lineRule="auto"/>
              <w:jc w:val="center"/>
              <w:textAlignment w:val="baseline"/>
              <w:rPr>
                <w:rFonts w:ascii="Times New Roman" w:eastAsia="Times New Roman" w:hAnsi="Times New Roman" w:cs="Times New Roman"/>
                <w:sz w:val="24"/>
                <w:szCs w:val="24"/>
                <w:lang w:eastAsia="en-CA"/>
              </w:rPr>
            </w:pPr>
            <w:r w:rsidRPr="001B7211">
              <w:rPr>
                <w:rFonts w:ascii="Calibri" w:eastAsia="Times New Roman" w:hAnsi="Calibri" w:cs="Calibri"/>
                <w:b/>
                <w:bCs/>
                <w:sz w:val="20"/>
                <w:szCs w:val="20"/>
                <w:lang w:val="en-US" w:eastAsia="en-CA"/>
              </w:rPr>
              <w:t>Questioning what we hear, read, and view contributes to our ability to be educated and engaged citizens.</w:t>
            </w:r>
            <w:r w:rsidRPr="001B7211">
              <w:rPr>
                <w:rFonts w:ascii="Calibri" w:eastAsia="Times New Roman" w:hAnsi="Calibri" w:cs="Calibri"/>
                <w:sz w:val="20"/>
                <w:szCs w:val="20"/>
                <w:lang w:eastAsia="en-CA"/>
              </w:rPr>
              <w:t> </w:t>
            </w:r>
          </w:p>
        </w:tc>
        <w:tc>
          <w:tcPr>
            <w:tcW w:w="1657"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1B7211" w:rsidRPr="001B7211" w:rsidRDefault="001B7211" w:rsidP="001B7211">
            <w:pPr>
              <w:spacing w:after="0" w:line="240" w:lineRule="auto"/>
              <w:jc w:val="center"/>
              <w:textAlignment w:val="baseline"/>
              <w:rPr>
                <w:rFonts w:ascii="Times New Roman" w:eastAsia="Times New Roman" w:hAnsi="Times New Roman" w:cs="Times New Roman"/>
                <w:sz w:val="24"/>
                <w:szCs w:val="24"/>
                <w:lang w:eastAsia="en-CA"/>
              </w:rPr>
            </w:pPr>
            <w:r w:rsidRPr="001B7211">
              <w:rPr>
                <w:rFonts w:ascii="Calibri" w:eastAsia="Times New Roman" w:hAnsi="Calibri" w:cs="Calibri"/>
                <w:b/>
                <w:bCs/>
                <w:sz w:val="20"/>
                <w:szCs w:val="20"/>
                <w:lang w:val="en-US" w:eastAsia="en-CA"/>
              </w:rPr>
              <w:t>The examination of First Peoples cultures and lived experiences through text builds understanding of Canadians’ responsibilities in relation to Reconciliation.</w:t>
            </w:r>
            <w:r w:rsidRPr="001B7211">
              <w:rPr>
                <w:rFonts w:ascii="Calibri" w:eastAsia="Times New Roman" w:hAnsi="Calibri" w:cs="Calibri"/>
                <w:sz w:val="20"/>
                <w:szCs w:val="20"/>
                <w:lang w:eastAsia="en-CA"/>
              </w:rPr>
              <w:t> </w:t>
            </w:r>
          </w:p>
        </w:tc>
      </w:tr>
    </w:tbl>
    <w:p w:rsidR="00FA417B" w:rsidRPr="00CB4E54" w:rsidRDefault="00FA417B">
      <w:pPr>
        <w:rPr>
          <w:b/>
          <w:lang w:val="en-US"/>
        </w:rPr>
      </w:pPr>
      <w:r>
        <w:rPr>
          <w:lang w:val="en-US"/>
        </w:rPr>
        <w:br/>
      </w:r>
      <w:r w:rsidR="00CB4E54" w:rsidRPr="00CB4E54">
        <w:rPr>
          <w:rFonts w:ascii="Calibri" w:hAnsi="Calibri" w:cs="Calibri"/>
          <w:b/>
          <w:color w:val="4471C4"/>
        </w:rPr>
        <w:t>Unit Outline </w:t>
      </w:r>
    </w:p>
    <w:tbl>
      <w:tblPr>
        <w:tblStyle w:val="TableGrid"/>
        <w:tblW w:w="0" w:type="auto"/>
        <w:tblLook w:val="04A0" w:firstRow="1" w:lastRow="0" w:firstColumn="1" w:lastColumn="0" w:noHBand="0" w:noVBand="1"/>
      </w:tblPr>
      <w:tblGrid>
        <w:gridCol w:w="846"/>
        <w:gridCol w:w="2126"/>
        <w:gridCol w:w="6378"/>
      </w:tblGrid>
      <w:tr w:rsidR="00FA417B" w:rsidTr="00CB4E54">
        <w:tc>
          <w:tcPr>
            <w:tcW w:w="846" w:type="dxa"/>
          </w:tcPr>
          <w:p w:rsidR="00FA417B" w:rsidRDefault="00FA417B">
            <w:pPr>
              <w:rPr>
                <w:lang w:val="en-US"/>
              </w:rPr>
            </w:pPr>
          </w:p>
        </w:tc>
        <w:tc>
          <w:tcPr>
            <w:tcW w:w="2126" w:type="dxa"/>
          </w:tcPr>
          <w:p w:rsidR="00FA417B" w:rsidRDefault="00FA417B">
            <w:pPr>
              <w:rPr>
                <w:lang w:val="en-US"/>
              </w:rPr>
            </w:pPr>
          </w:p>
        </w:tc>
        <w:tc>
          <w:tcPr>
            <w:tcW w:w="6378" w:type="dxa"/>
          </w:tcPr>
          <w:p w:rsidR="00FA417B" w:rsidRDefault="00FA417B">
            <w:pPr>
              <w:rPr>
                <w:lang w:val="en-US"/>
              </w:rPr>
            </w:pPr>
          </w:p>
        </w:tc>
      </w:tr>
      <w:tr w:rsidR="00FA417B" w:rsidTr="00CB4E54">
        <w:tc>
          <w:tcPr>
            <w:tcW w:w="846" w:type="dxa"/>
          </w:tcPr>
          <w:p w:rsidR="00FA417B" w:rsidRDefault="00CB4E54">
            <w:pPr>
              <w:rPr>
                <w:lang w:val="en-US"/>
              </w:rPr>
            </w:pPr>
            <w:r>
              <w:rPr>
                <w:lang w:val="en-US"/>
              </w:rPr>
              <w:t>1</w:t>
            </w:r>
          </w:p>
        </w:tc>
        <w:tc>
          <w:tcPr>
            <w:tcW w:w="2126" w:type="dxa"/>
          </w:tcPr>
          <w:p w:rsidR="00FA417B" w:rsidRDefault="00CB4E54">
            <w:pPr>
              <w:rPr>
                <w:lang w:val="en-US"/>
              </w:rPr>
            </w:pPr>
            <w:r w:rsidRPr="57EF512E">
              <w:rPr>
                <w:rFonts w:ascii="Calibri" w:eastAsia="Calibri" w:hAnsi="Calibri" w:cs="Calibri"/>
                <w:b/>
                <w:bCs/>
                <w:color w:val="000000" w:themeColor="text1"/>
              </w:rPr>
              <w:t>Indigenous Films</w:t>
            </w:r>
            <w:r>
              <w:rPr>
                <w:rFonts w:ascii="Calibri" w:eastAsia="Calibri" w:hAnsi="Calibri" w:cs="Calibri"/>
                <w:b/>
                <w:bCs/>
                <w:color w:val="000000" w:themeColor="text1"/>
              </w:rPr>
              <w:t xml:space="preserve"> &amp; Stereotypes</w:t>
            </w:r>
          </w:p>
        </w:tc>
        <w:tc>
          <w:tcPr>
            <w:tcW w:w="6378" w:type="dxa"/>
          </w:tcPr>
          <w:p w:rsidR="00FA417B" w:rsidRDefault="00CB4E54">
            <w:pPr>
              <w:rPr>
                <w:lang w:val="en-US"/>
              </w:rPr>
            </w:pPr>
            <w:r w:rsidRPr="57EF512E">
              <w:rPr>
                <w:rFonts w:ascii="Calibri" w:eastAsia="Calibri" w:hAnsi="Calibri" w:cs="Calibri"/>
                <w:color w:val="000000" w:themeColor="text1"/>
              </w:rPr>
              <w:t xml:space="preserve">Students will analyze film techniques as well as the role of storytelling in indigenous-made films through the film </w:t>
            </w:r>
            <w:r w:rsidRPr="57EF512E">
              <w:rPr>
                <w:rFonts w:ascii="Calibri" w:eastAsia="Calibri" w:hAnsi="Calibri" w:cs="Calibri"/>
                <w:i/>
                <w:iCs/>
                <w:color w:val="000000" w:themeColor="text1"/>
              </w:rPr>
              <w:t>Reel Injun</w:t>
            </w:r>
            <w:r w:rsidRPr="57EF512E">
              <w:rPr>
                <w:rFonts w:ascii="Calibri" w:eastAsia="Calibri" w:hAnsi="Calibri" w:cs="Calibri"/>
                <w:color w:val="000000" w:themeColor="text1"/>
              </w:rPr>
              <w:t xml:space="preserve">. </w:t>
            </w:r>
            <w:r>
              <w:rPr>
                <w:rFonts w:ascii="Calibri" w:eastAsia="Calibri" w:hAnsi="Calibri" w:cs="Calibri"/>
                <w:color w:val="000000" w:themeColor="text1"/>
              </w:rPr>
              <w:t xml:space="preserve">They will have a better understanding of indigenous peoples, their values, beliefs, and perspectives. </w:t>
            </w:r>
            <w:r w:rsidRPr="57EF512E">
              <w:rPr>
                <w:rFonts w:ascii="Calibri" w:eastAsia="Calibri" w:hAnsi="Calibri" w:cs="Calibri"/>
                <w:color w:val="000000" w:themeColor="text1"/>
              </w:rPr>
              <w:t xml:space="preserve">They will develop their ability to assess accuracy, reliability, </w:t>
            </w:r>
            <w:r>
              <w:rPr>
                <w:rFonts w:ascii="Calibri" w:eastAsia="Calibri" w:hAnsi="Calibri" w:cs="Calibri"/>
                <w:color w:val="000000" w:themeColor="text1"/>
              </w:rPr>
              <w:t xml:space="preserve">contradictions, omissions, </w:t>
            </w:r>
            <w:r w:rsidRPr="57EF512E">
              <w:rPr>
                <w:rFonts w:ascii="Calibri" w:eastAsia="Calibri" w:hAnsi="Calibri" w:cs="Calibri"/>
                <w:color w:val="000000" w:themeColor="text1"/>
              </w:rPr>
              <w:t>bias, and authenticity.</w:t>
            </w:r>
          </w:p>
        </w:tc>
      </w:tr>
      <w:tr w:rsidR="00FA417B" w:rsidTr="00CB4E54">
        <w:tc>
          <w:tcPr>
            <w:tcW w:w="846" w:type="dxa"/>
          </w:tcPr>
          <w:p w:rsidR="00FA417B" w:rsidRDefault="00CB4E54">
            <w:pPr>
              <w:rPr>
                <w:lang w:val="en-US"/>
              </w:rPr>
            </w:pPr>
            <w:r>
              <w:rPr>
                <w:lang w:val="en-US"/>
              </w:rPr>
              <w:t>2</w:t>
            </w:r>
          </w:p>
        </w:tc>
        <w:tc>
          <w:tcPr>
            <w:tcW w:w="2126" w:type="dxa"/>
          </w:tcPr>
          <w:p w:rsidR="00FA417B" w:rsidRDefault="00CB4E54">
            <w:pPr>
              <w:rPr>
                <w:lang w:val="en-US"/>
              </w:rPr>
            </w:pPr>
            <w:r w:rsidRPr="57EF512E">
              <w:rPr>
                <w:rFonts w:ascii="Calibri" w:eastAsia="Calibri" w:hAnsi="Calibri" w:cs="Calibri"/>
                <w:b/>
                <w:bCs/>
                <w:color w:val="000000" w:themeColor="text1"/>
              </w:rPr>
              <w:t xml:space="preserve">Indigenous Novels, </w:t>
            </w:r>
            <w:r>
              <w:rPr>
                <w:rFonts w:ascii="Calibri" w:eastAsia="Calibri" w:hAnsi="Calibri" w:cs="Calibri"/>
                <w:b/>
                <w:bCs/>
                <w:color w:val="000000" w:themeColor="text1"/>
              </w:rPr>
              <w:t>Residential Schools &amp; Racism</w:t>
            </w:r>
          </w:p>
        </w:tc>
        <w:tc>
          <w:tcPr>
            <w:tcW w:w="6378" w:type="dxa"/>
          </w:tcPr>
          <w:p w:rsidR="00FA417B" w:rsidRDefault="00CB4E54">
            <w:pPr>
              <w:rPr>
                <w:lang w:val="en-US"/>
              </w:rPr>
            </w:pPr>
            <w:r w:rsidRPr="57EF512E">
              <w:rPr>
                <w:rFonts w:ascii="Calibri" w:eastAsia="Calibri" w:hAnsi="Calibri" w:cs="Calibri"/>
                <w:color w:val="000000" w:themeColor="text1"/>
              </w:rPr>
              <w:t>Students</w:t>
            </w:r>
            <w:r>
              <w:rPr>
                <w:rFonts w:ascii="Calibri" w:eastAsia="Calibri" w:hAnsi="Calibri" w:cs="Calibri"/>
                <w:color w:val="000000" w:themeColor="text1"/>
              </w:rPr>
              <w:t xml:space="preserve"> will</w:t>
            </w:r>
            <w:r w:rsidRPr="57EF512E">
              <w:rPr>
                <w:rFonts w:ascii="Calibri" w:eastAsia="Calibri" w:hAnsi="Calibri" w:cs="Calibri"/>
                <w:color w:val="000000" w:themeColor="text1"/>
              </w:rPr>
              <w:t xml:space="preserve"> explore </w:t>
            </w:r>
            <w:r>
              <w:rPr>
                <w:rFonts w:ascii="Calibri" w:eastAsia="Calibri" w:hAnsi="Calibri" w:cs="Calibri"/>
                <w:color w:val="000000" w:themeColor="text1"/>
              </w:rPr>
              <w:t xml:space="preserve">the topic of residential schools and racism, and the resulting effects of generational and intergenerational trauma. They will understand </w:t>
            </w:r>
            <w:r w:rsidRPr="57EF512E">
              <w:rPr>
                <w:rFonts w:ascii="Calibri" w:eastAsia="Calibri" w:hAnsi="Calibri" w:cs="Calibri"/>
                <w:color w:val="000000" w:themeColor="text1"/>
              </w:rPr>
              <w:t xml:space="preserve">indigenous novel writing through </w:t>
            </w:r>
            <w:r w:rsidRPr="57EF512E">
              <w:rPr>
                <w:rFonts w:ascii="Calibri" w:eastAsia="Calibri" w:hAnsi="Calibri" w:cs="Calibri"/>
                <w:i/>
                <w:iCs/>
                <w:color w:val="000000" w:themeColor="text1"/>
              </w:rPr>
              <w:t xml:space="preserve">Indian Horse, </w:t>
            </w:r>
            <w:r w:rsidRPr="57EF512E">
              <w:rPr>
                <w:rFonts w:ascii="Calibri" w:eastAsia="Calibri" w:hAnsi="Calibri" w:cs="Calibri"/>
                <w:color w:val="000000" w:themeColor="text1"/>
              </w:rPr>
              <w:t>which also has them examining different</w:t>
            </w:r>
            <w:r>
              <w:rPr>
                <w:rFonts w:ascii="Calibri" w:eastAsia="Calibri" w:hAnsi="Calibri" w:cs="Calibri"/>
                <w:color w:val="000000" w:themeColor="text1"/>
              </w:rPr>
              <w:t xml:space="preserve"> writing</w:t>
            </w:r>
            <w:r w:rsidRPr="57EF512E">
              <w:rPr>
                <w:rFonts w:ascii="Calibri" w:eastAsia="Calibri" w:hAnsi="Calibri" w:cs="Calibri"/>
                <w:color w:val="000000" w:themeColor="text1"/>
              </w:rPr>
              <w:t xml:space="preserve"> formats</w:t>
            </w:r>
            <w:r>
              <w:rPr>
                <w:rFonts w:ascii="Calibri" w:eastAsia="Calibri" w:hAnsi="Calibri" w:cs="Calibri"/>
                <w:color w:val="000000" w:themeColor="text1"/>
              </w:rPr>
              <w:t xml:space="preserve"> </w:t>
            </w:r>
            <w:r w:rsidRPr="57EF512E">
              <w:rPr>
                <w:rFonts w:ascii="Calibri" w:eastAsia="Calibri" w:hAnsi="Calibri" w:cs="Calibri"/>
                <w:color w:val="000000" w:themeColor="text1"/>
              </w:rPr>
              <w:t xml:space="preserve">and perspectives. </w:t>
            </w:r>
            <w:r>
              <w:rPr>
                <w:rFonts w:ascii="Calibri" w:eastAsia="Calibri" w:hAnsi="Calibri" w:cs="Calibri"/>
                <w:color w:val="000000" w:themeColor="text1"/>
              </w:rPr>
              <w:t xml:space="preserve">They will also be able to practise inferring. Finally, they will compare the novel and film version and use metacognitive strategies to understand the format best for their learning. There will also be a news article presentation in the middle of the unit to examine colonial and post-colonial issues and topics.  </w:t>
            </w:r>
          </w:p>
        </w:tc>
      </w:tr>
      <w:tr w:rsidR="00CB4E54" w:rsidTr="00CB4E54">
        <w:tc>
          <w:tcPr>
            <w:tcW w:w="846" w:type="dxa"/>
          </w:tcPr>
          <w:p w:rsidR="00CB4E54" w:rsidRDefault="00CB4E54" w:rsidP="00CB4E54">
            <w:pPr>
              <w:rPr>
                <w:lang w:val="en-US"/>
              </w:rPr>
            </w:pPr>
            <w:r>
              <w:rPr>
                <w:lang w:val="en-US"/>
              </w:rPr>
              <w:t>3</w:t>
            </w:r>
          </w:p>
        </w:tc>
        <w:tc>
          <w:tcPr>
            <w:tcW w:w="2126" w:type="dxa"/>
          </w:tcPr>
          <w:p w:rsidR="00CB4E54" w:rsidRDefault="00CB4E54" w:rsidP="00CB4E54">
            <w:pPr>
              <w:rPr>
                <w:lang w:val="en-US"/>
              </w:rPr>
            </w:pPr>
            <w:r w:rsidRPr="57EF512E">
              <w:rPr>
                <w:rFonts w:ascii="Calibri" w:eastAsia="Calibri" w:hAnsi="Calibri" w:cs="Calibri"/>
                <w:b/>
                <w:bCs/>
                <w:color w:val="000000" w:themeColor="text1"/>
              </w:rPr>
              <w:t>Indigenous Poetry</w:t>
            </w:r>
          </w:p>
        </w:tc>
        <w:tc>
          <w:tcPr>
            <w:tcW w:w="6378" w:type="dxa"/>
          </w:tcPr>
          <w:p w:rsidR="00CB4E54" w:rsidRDefault="00CB4E54" w:rsidP="00CB4E54">
            <w:pPr>
              <w:rPr>
                <w:rFonts w:ascii="Calibri" w:eastAsia="Calibri" w:hAnsi="Calibri" w:cs="Calibri"/>
                <w:color w:val="000000" w:themeColor="text1"/>
              </w:rPr>
            </w:pPr>
            <w:r w:rsidRPr="57EF512E">
              <w:rPr>
                <w:rFonts w:ascii="Calibri" w:eastAsia="Calibri" w:hAnsi="Calibri" w:cs="Calibri"/>
                <w:color w:val="000000" w:themeColor="text1"/>
              </w:rPr>
              <w:t>For the poetry unit, students will be reading poems and analyzing techniques</w:t>
            </w:r>
            <w:r>
              <w:rPr>
                <w:rFonts w:ascii="Calibri" w:eastAsia="Calibri" w:hAnsi="Calibri" w:cs="Calibri"/>
                <w:color w:val="000000" w:themeColor="text1"/>
              </w:rPr>
              <w:t>, including rhetorical devices,</w:t>
            </w:r>
            <w:r w:rsidRPr="57EF512E">
              <w:rPr>
                <w:rFonts w:ascii="Calibri" w:eastAsia="Calibri" w:hAnsi="Calibri" w:cs="Calibri"/>
                <w:color w:val="000000" w:themeColor="text1"/>
              </w:rPr>
              <w:t xml:space="preserve"> that poets use to convey </w:t>
            </w:r>
            <w:r w:rsidRPr="57EF512E">
              <w:rPr>
                <w:rFonts w:ascii="Calibri" w:eastAsia="Calibri" w:hAnsi="Calibri" w:cs="Calibri"/>
                <w:color w:val="000000" w:themeColor="text1"/>
              </w:rPr>
              <w:lastRenderedPageBreak/>
              <w:t>meaning. There will be a focus on analyzing the meaning as well as the role of poetic devices in conveying the poem’s meaning/theme. Students will individually or collaboratively create a poem with indigenous words, context, meaning, and messages.</w:t>
            </w:r>
          </w:p>
        </w:tc>
      </w:tr>
      <w:tr w:rsidR="00CB4E54" w:rsidTr="00CB4E54">
        <w:tc>
          <w:tcPr>
            <w:tcW w:w="846" w:type="dxa"/>
          </w:tcPr>
          <w:p w:rsidR="00CB4E54" w:rsidRDefault="00CB4E54" w:rsidP="00CB4E54">
            <w:pPr>
              <w:rPr>
                <w:lang w:val="en-US"/>
              </w:rPr>
            </w:pPr>
            <w:r>
              <w:rPr>
                <w:lang w:val="en-US"/>
              </w:rPr>
              <w:lastRenderedPageBreak/>
              <w:t>4</w:t>
            </w:r>
          </w:p>
        </w:tc>
        <w:tc>
          <w:tcPr>
            <w:tcW w:w="2126" w:type="dxa"/>
          </w:tcPr>
          <w:p w:rsidR="00CB4E54" w:rsidRDefault="00CB4E54" w:rsidP="00CB4E54">
            <w:pPr>
              <w:rPr>
                <w:lang w:val="en-US"/>
              </w:rPr>
            </w:pPr>
            <w:r w:rsidRPr="57EF512E">
              <w:rPr>
                <w:rFonts w:ascii="Calibri" w:eastAsia="Calibri" w:hAnsi="Calibri" w:cs="Calibri"/>
                <w:b/>
                <w:bCs/>
                <w:color w:val="000000" w:themeColor="text1"/>
              </w:rPr>
              <w:t>Land Use</w:t>
            </w:r>
            <w:r>
              <w:rPr>
                <w:rFonts w:ascii="Calibri" w:eastAsia="Calibri" w:hAnsi="Calibri" w:cs="Calibri"/>
                <w:b/>
                <w:bCs/>
                <w:color w:val="000000" w:themeColor="text1"/>
              </w:rPr>
              <w:t>, Place,</w:t>
            </w:r>
            <w:r w:rsidRPr="57EF512E">
              <w:rPr>
                <w:rFonts w:ascii="Calibri" w:eastAsia="Calibri" w:hAnsi="Calibri" w:cs="Calibri"/>
                <w:b/>
                <w:bCs/>
                <w:color w:val="000000" w:themeColor="text1"/>
              </w:rPr>
              <w:t xml:space="preserve"> and Narratives</w:t>
            </w:r>
          </w:p>
        </w:tc>
        <w:tc>
          <w:tcPr>
            <w:tcW w:w="6378" w:type="dxa"/>
          </w:tcPr>
          <w:p w:rsidR="00CB4E54" w:rsidRDefault="00CB4E54" w:rsidP="00CB4E54">
            <w:pPr>
              <w:rPr>
                <w:rFonts w:ascii="Calibri" w:eastAsia="Calibri" w:hAnsi="Calibri" w:cs="Calibri"/>
                <w:color w:val="000000" w:themeColor="text1"/>
              </w:rPr>
            </w:pPr>
            <w:r w:rsidRPr="57EF512E">
              <w:rPr>
                <w:rFonts w:ascii="Calibri" w:eastAsia="Calibri" w:hAnsi="Calibri" w:cs="Calibri"/>
                <w:color w:val="000000" w:themeColor="text1"/>
              </w:rPr>
              <w:t xml:space="preserve">Students will explore indigenous non-fiction stories </w:t>
            </w:r>
            <w:r>
              <w:rPr>
                <w:rFonts w:ascii="Calibri" w:eastAsia="Calibri" w:hAnsi="Calibri" w:cs="Calibri"/>
                <w:color w:val="000000" w:themeColor="text1"/>
              </w:rPr>
              <w:t xml:space="preserve">and the importance of place in the indigenous community </w:t>
            </w:r>
            <w:r w:rsidRPr="57EF512E">
              <w:rPr>
                <w:rFonts w:ascii="Calibri" w:eastAsia="Calibri" w:hAnsi="Calibri" w:cs="Calibri"/>
                <w:color w:val="000000" w:themeColor="text1"/>
              </w:rPr>
              <w:t xml:space="preserve">through a documentary </w:t>
            </w:r>
            <w:proofErr w:type="spellStart"/>
            <w:r w:rsidRPr="57EF512E">
              <w:rPr>
                <w:rFonts w:ascii="Calibri" w:eastAsia="Calibri" w:hAnsi="Calibri" w:cs="Calibri"/>
                <w:i/>
                <w:iCs/>
                <w:color w:val="000000" w:themeColor="text1"/>
              </w:rPr>
              <w:t>Kanehsatake</w:t>
            </w:r>
            <w:proofErr w:type="spellEnd"/>
            <w:r w:rsidRPr="57EF512E">
              <w:rPr>
                <w:rFonts w:ascii="Calibri" w:eastAsia="Calibri" w:hAnsi="Calibri" w:cs="Calibri"/>
                <w:i/>
                <w:iCs/>
                <w:color w:val="000000" w:themeColor="text1"/>
              </w:rPr>
              <w:t>: 270 Years of Resistance</w:t>
            </w:r>
            <w:r w:rsidRPr="57EF512E">
              <w:rPr>
                <w:rFonts w:ascii="Calibri" w:eastAsia="Calibri" w:hAnsi="Calibri" w:cs="Calibri"/>
                <w:color w:val="000000" w:themeColor="text1"/>
              </w:rPr>
              <w:t xml:space="preserve">. They will </w:t>
            </w:r>
            <w:r>
              <w:rPr>
                <w:rFonts w:ascii="Calibri" w:eastAsia="Calibri" w:hAnsi="Calibri" w:cs="Calibri"/>
                <w:color w:val="000000" w:themeColor="text1"/>
              </w:rPr>
              <w:t>continue to</w:t>
            </w:r>
            <w:r w:rsidRPr="57EF512E">
              <w:rPr>
                <w:rFonts w:ascii="Calibri" w:eastAsia="Calibri" w:hAnsi="Calibri" w:cs="Calibri"/>
                <w:color w:val="000000" w:themeColor="text1"/>
              </w:rPr>
              <w:t xml:space="preserve"> discern bias and reflect on their own understanding of issues and how they learn (metacognitive strategies). </w:t>
            </w:r>
            <w:r>
              <w:rPr>
                <w:rFonts w:ascii="Calibri" w:eastAsia="Calibri" w:hAnsi="Calibri" w:cs="Calibri"/>
                <w:color w:val="000000" w:themeColor="text1"/>
              </w:rPr>
              <w:t xml:space="preserve">The course will end with a final exam. </w:t>
            </w:r>
          </w:p>
        </w:tc>
      </w:tr>
    </w:tbl>
    <w:p w:rsidR="00C86F81" w:rsidRDefault="00C86F81">
      <w:pPr>
        <w:rPr>
          <w:lang w:val="en-US"/>
        </w:rPr>
      </w:pPr>
    </w:p>
    <w:p w:rsidR="00C86F81" w:rsidRPr="004F55D0" w:rsidRDefault="00C86F81" w:rsidP="00C86F81">
      <w:pPr>
        <w:spacing w:after="0" w:line="240" w:lineRule="auto"/>
        <w:rPr>
          <w:rStyle w:val="normaltextrun"/>
          <w:rFonts w:ascii="Calibri" w:eastAsia="Calibri" w:hAnsi="Calibri" w:cs="Calibri"/>
          <w:b/>
          <w:color w:val="000000" w:themeColor="text1"/>
        </w:rPr>
      </w:pPr>
      <w:r w:rsidRPr="00B6183B">
        <w:rPr>
          <w:color w:val="2F5496" w:themeColor="accent1" w:themeShade="BF"/>
          <w:sz w:val="26"/>
          <w:szCs w:val="26"/>
        </w:rPr>
        <w:t>Allocation of marks:</w:t>
      </w:r>
      <w:r w:rsidRPr="00B86147">
        <w:rPr>
          <w:sz w:val="26"/>
          <w:szCs w:val="26"/>
        </w:rPr>
        <w:br/>
        <w:t>20% Learning journal</w:t>
      </w:r>
      <w:r w:rsidRPr="00B86147">
        <w:rPr>
          <w:sz w:val="26"/>
          <w:szCs w:val="26"/>
        </w:rPr>
        <w:br/>
        <w:t>10% Writing Response</w:t>
      </w:r>
      <w:r w:rsidRPr="00B86147">
        <w:rPr>
          <w:sz w:val="26"/>
          <w:szCs w:val="26"/>
        </w:rPr>
        <w:br/>
        <w:t>25% Essay (with self checklist &amp; peer assessment)</w:t>
      </w:r>
      <w:r w:rsidRPr="00B86147">
        <w:rPr>
          <w:sz w:val="26"/>
          <w:szCs w:val="26"/>
        </w:rPr>
        <w:br/>
        <w:t>15% Presentation (with self &amp; peer assessment)</w:t>
      </w:r>
      <w:r w:rsidRPr="00B86147">
        <w:rPr>
          <w:sz w:val="26"/>
          <w:szCs w:val="26"/>
        </w:rPr>
        <w:br/>
        <w:t>15% Quizzes</w:t>
      </w:r>
      <w:r w:rsidRPr="00B86147">
        <w:rPr>
          <w:sz w:val="26"/>
          <w:szCs w:val="26"/>
        </w:rPr>
        <w:br/>
        <w:t>15% Final exam</w:t>
      </w:r>
      <w:r>
        <w:rPr>
          <w:sz w:val="26"/>
          <w:szCs w:val="26"/>
        </w:rPr>
        <w:br/>
      </w:r>
      <w:bookmarkStart w:id="1" w:name="_GoBack"/>
      <w:bookmarkEnd w:id="1"/>
      <w:r>
        <w:rPr>
          <w:sz w:val="26"/>
          <w:szCs w:val="26"/>
        </w:rPr>
        <w:br/>
      </w:r>
      <w:r w:rsidRPr="004F55D0">
        <w:rPr>
          <w:rFonts w:ascii="Calibri" w:hAnsi="Calibri" w:cs="Calibri"/>
          <w:b/>
          <w:bCs/>
          <w:color w:val="4471C4"/>
        </w:rPr>
        <w:t>Classroom Expectations</w:t>
      </w:r>
      <w:r w:rsidRPr="004F55D0">
        <w:t>:</w:t>
      </w:r>
    </w:p>
    <w:p w:rsidR="00C86F81" w:rsidRPr="004F55D0" w:rsidRDefault="00C86F81" w:rsidP="00C86F81">
      <w:pPr>
        <w:pStyle w:val="ListParagraph"/>
        <w:numPr>
          <w:ilvl w:val="0"/>
          <w:numId w:val="1"/>
        </w:numPr>
        <w:spacing w:after="0" w:line="240" w:lineRule="auto"/>
        <w:rPr>
          <w:rStyle w:val="normaltextrun"/>
          <w:rFonts w:ascii="Calibri" w:eastAsia="Calibri" w:hAnsi="Calibri" w:cs="Calibri"/>
          <w:color w:val="000000" w:themeColor="text1"/>
          <w:lang w:val="en-CA"/>
        </w:rPr>
      </w:pPr>
      <w:r w:rsidRPr="004F55D0">
        <w:rPr>
          <w:rStyle w:val="normaltextrun"/>
          <w:rFonts w:ascii="Calibri" w:eastAsia="Calibri" w:hAnsi="Calibri" w:cs="Calibri"/>
          <w:color w:val="000000" w:themeColor="text1"/>
          <w:lang w:val="en-CA"/>
        </w:rPr>
        <w:t>Bring paper or notebook, writing tools, and folder/binder</w:t>
      </w:r>
    </w:p>
    <w:p w:rsidR="00C86F81" w:rsidRPr="004F55D0" w:rsidRDefault="00C86F81" w:rsidP="00C86F81">
      <w:pPr>
        <w:pStyle w:val="ListParagraph"/>
        <w:numPr>
          <w:ilvl w:val="0"/>
          <w:numId w:val="1"/>
        </w:numPr>
        <w:spacing w:after="0" w:line="240" w:lineRule="auto"/>
        <w:rPr>
          <w:rStyle w:val="normaltextrun"/>
          <w:rFonts w:ascii="Calibri" w:eastAsia="Calibri" w:hAnsi="Calibri" w:cs="Calibri"/>
          <w:color w:val="000000" w:themeColor="text1"/>
          <w:lang w:val="en-CA"/>
        </w:rPr>
      </w:pPr>
      <w:r w:rsidRPr="004F55D0">
        <w:rPr>
          <w:rStyle w:val="normaltextrun"/>
          <w:rFonts w:ascii="Calibri" w:eastAsia="Calibri" w:hAnsi="Calibri" w:cs="Calibri"/>
          <w:color w:val="000000" w:themeColor="text1"/>
          <w:lang w:val="en-CA"/>
        </w:rPr>
        <w:t>Bring books/materials given by the teacher.</w:t>
      </w:r>
    </w:p>
    <w:p w:rsidR="00C86F81" w:rsidRPr="004F55D0" w:rsidRDefault="00C86F81" w:rsidP="00C86F81">
      <w:pPr>
        <w:pStyle w:val="ListParagraph"/>
        <w:numPr>
          <w:ilvl w:val="0"/>
          <w:numId w:val="1"/>
        </w:numPr>
        <w:spacing w:after="0" w:line="240" w:lineRule="auto"/>
        <w:rPr>
          <w:rStyle w:val="normaltextrun"/>
          <w:rFonts w:ascii="Calibri" w:eastAsia="Calibri" w:hAnsi="Calibri" w:cs="Calibri"/>
          <w:color w:val="000000" w:themeColor="text1"/>
          <w:lang w:val="en-CA"/>
        </w:rPr>
      </w:pPr>
      <w:r w:rsidRPr="004F55D0">
        <w:rPr>
          <w:rStyle w:val="normaltextrun"/>
          <w:rFonts w:ascii="Calibri" w:eastAsia="Calibri" w:hAnsi="Calibri" w:cs="Calibri"/>
          <w:color w:val="000000" w:themeColor="text1"/>
          <w:lang w:val="en-CA"/>
        </w:rPr>
        <w:t xml:space="preserve">Use laptops or tablets for writing (not phones) </w:t>
      </w:r>
    </w:p>
    <w:p w:rsidR="00FE0B8B" w:rsidRPr="004F55D0" w:rsidRDefault="00FE0B8B" w:rsidP="00C86F81">
      <w:pPr>
        <w:spacing w:after="0" w:line="240" w:lineRule="auto"/>
        <w:rPr>
          <w:rStyle w:val="normaltextrun"/>
          <w:rFonts w:ascii="Calibri" w:eastAsia="Calibri" w:hAnsi="Calibri" w:cs="Calibri"/>
          <w:color w:val="000000" w:themeColor="text1"/>
        </w:rPr>
      </w:pPr>
    </w:p>
    <w:p w:rsidR="00C86F81" w:rsidRPr="004F55D0" w:rsidRDefault="00C86F81" w:rsidP="00C86F81">
      <w:pPr>
        <w:pStyle w:val="ListParagraph"/>
        <w:numPr>
          <w:ilvl w:val="0"/>
          <w:numId w:val="1"/>
        </w:numPr>
        <w:spacing w:after="0" w:line="240" w:lineRule="auto"/>
        <w:rPr>
          <w:rStyle w:val="normaltextrun"/>
          <w:rFonts w:ascii="Calibri" w:eastAsia="Calibri" w:hAnsi="Calibri" w:cs="Calibri"/>
          <w:color w:val="000000" w:themeColor="text1"/>
          <w:lang w:val="en-CA"/>
        </w:rPr>
      </w:pPr>
      <w:r w:rsidRPr="004F55D0">
        <w:rPr>
          <w:rStyle w:val="normaltextrun"/>
          <w:rFonts w:ascii="Calibri" w:eastAsia="Calibri" w:hAnsi="Calibri" w:cs="Calibri"/>
          <w:color w:val="000000" w:themeColor="text1"/>
          <w:lang w:val="en-CA"/>
        </w:rPr>
        <w:t>Do not use cellphones unless sharing or researching something</w:t>
      </w:r>
    </w:p>
    <w:p w:rsidR="00C86F81" w:rsidRPr="004F55D0" w:rsidRDefault="00C86F81" w:rsidP="00C86F81">
      <w:pPr>
        <w:pStyle w:val="ListParagraph"/>
        <w:numPr>
          <w:ilvl w:val="0"/>
          <w:numId w:val="1"/>
        </w:numPr>
        <w:spacing w:after="0" w:line="240" w:lineRule="auto"/>
        <w:rPr>
          <w:rStyle w:val="normaltextrun"/>
          <w:rFonts w:ascii="Calibri" w:eastAsia="Calibri" w:hAnsi="Calibri" w:cs="Calibri"/>
          <w:color w:val="000000" w:themeColor="text1"/>
          <w:lang w:val="en-CA"/>
        </w:rPr>
      </w:pPr>
      <w:r w:rsidRPr="004F55D0">
        <w:rPr>
          <w:rStyle w:val="normaltextrun"/>
          <w:rFonts w:ascii="Calibri" w:eastAsia="Calibri" w:hAnsi="Calibri" w:cs="Calibri"/>
          <w:color w:val="000000" w:themeColor="text1"/>
          <w:lang w:val="en-CA"/>
        </w:rPr>
        <w:t>Do not bring music players &amp; earphones</w:t>
      </w:r>
    </w:p>
    <w:p w:rsidR="00C86F81" w:rsidRPr="004F55D0" w:rsidRDefault="00C86F81" w:rsidP="00C86F81">
      <w:pPr>
        <w:pStyle w:val="ListParagraph"/>
        <w:numPr>
          <w:ilvl w:val="0"/>
          <w:numId w:val="1"/>
        </w:numPr>
        <w:spacing w:after="0" w:line="240" w:lineRule="auto"/>
        <w:rPr>
          <w:rStyle w:val="normaltextrun"/>
          <w:rFonts w:ascii="Calibri" w:eastAsia="Calibri" w:hAnsi="Calibri" w:cs="Calibri"/>
          <w:color w:val="000000" w:themeColor="text1"/>
          <w:lang w:val="en-CA"/>
        </w:rPr>
      </w:pPr>
      <w:r w:rsidRPr="004F55D0">
        <w:rPr>
          <w:rStyle w:val="normaltextrun"/>
          <w:rFonts w:ascii="Calibri" w:eastAsia="Calibri" w:hAnsi="Calibri" w:cs="Calibri"/>
          <w:color w:val="000000" w:themeColor="text1"/>
          <w:lang w:val="en-CA"/>
        </w:rPr>
        <w:t>Do not speak other languages besides English unless explaining something</w:t>
      </w:r>
    </w:p>
    <w:p w:rsidR="00C86F81" w:rsidRPr="004F55D0" w:rsidRDefault="00C86F81" w:rsidP="00C86F81">
      <w:pPr>
        <w:pStyle w:val="ListParagraph"/>
        <w:numPr>
          <w:ilvl w:val="0"/>
          <w:numId w:val="1"/>
        </w:numPr>
        <w:spacing w:after="0" w:line="240" w:lineRule="auto"/>
        <w:rPr>
          <w:rStyle w:val="normaltextrun"/>
          <w:rFonts w:ascii="Calibri" w:eastAsia="Calibri" w:hAnsi="Calibri" w:cs="Calibri"/>
          <w:color w:val="000000" w:themeColor="text1"/>
          <w:lang w:val="en-CA"/>
        </w:rPr>
      </w:pPr>
      <w:r w:rsidRPr="004F55D0">
        <w:rPr>
          <w:rStyle w:val="normaltextrun"/>
          <w:rFonts w:ascii="Calibri" w:eastAsia="Calibri" w:hAnsi="Calibri" w:cs="Calibri"/>
          <w:color w:val="000000" w:themeColor="text1"/>
          <w:lang w:val="en-CA"/>
        </w:rPr>
        <w:t>Don’t do other things in class that distract from learning and engaging in the class topics</w:t>
      </w:r>
    </w:p>
    <w:p w:rsidR="005D21DF" w:rsidRDefault="004F55D0" w:rsidP="00C86F81">
      <w:pPr>
        <w:pStyle w:val="ListParagraph"/>
        <w:numPr>
          <w:ilvl w:val="0"/>
          <w:numId w:val="1"/>
        </w:numPr>
        <w:spacing w:after="0" w:line="240" w:lineRule="auto"/>
        <w:rPr>
          <w:rFonts w:ascii="Calibri" w:eastAsia="Calibri" w:hAnsi="Calibri" w:cs="Calibri"/>
          <w:color w:val="000000" w:themeColor="text1"/>
          <w:lang w:val="en-CA"/>
        </w:rPr>
      </w:pPr>
      <w:r>
        <w:rPr>
          <w:rFonts w:ascii="Calibri" w:eastAsia="Calibri" w:hAnsi="Calibri" w:cs="Calibri"/>
          <w:color w:val="000000" w:themeColor="text1"/>
          <w:lang w:val="en-CA"/>
        </w:rPr>
        <w:t>T</w:t>
      </w:r>
      <w:r w:rsidR="005D21DF" w:rsidRPr="004F55D0">
        <w:rPr>
          <w:rFonts w:ascii="Calibri" w:eastAsia="Calibri" w:hAnsi="Calibri" w:cs="Calibri"/>
          <w:color w:val="000000" w:themeColor="text1"/>
          <w:lang w:val="en-CA"/>
        </w:rPr>
        <w:t>ake washroom and water breaks only when necessary</w:t>
      </w:r>
    </w:p>
    <w:p w:rsidR="004F55D0" w:rsidRPr="004F55D0" w:rsidRDefault="004F55D0" w:rsidP="00C86F81">
      <w:pPr>
        <w:pStyle w:val="ListParagraph"/>
        <w:numPr>
          <w:ilvl w:val="0"/>
          <w:numId w:val="1"/>
        </w:numPr>
        <w:spacing w:after="0" w:line="240" w:lineRule="auto"/>
        <w:rPr>
          <w:rFonts w:ascii="Calibri" w:eastAsia="Calibri" w:hAnsi="Calibri" w:cs="Calibri"/>
          <w:color w:val="000000" w:themeColor="text1"/>
          <w:lang w:val="en-CA"/>
        </w:rPr>
      </w:pPr>
      <w:r>
        <w:rPr>
          <w:rFonts w:ascii="Calibri" w:eastAsia="Calibri" w:hAnsi="Calibri" w:cs="Calibri"/>
          <w:color w:val="000000" w:themeColor="text1"/>
          <w:lang w:val="en-CA"/>
        </w:rPr>
        <w:t>Complete your assignments on time and please speak to the teacher if you have trouble completing the work.</w:t>
      </w:r>
    </w:p>
    <w:p w:rsidR="00FE0B8B" w:rsidRPr="004F55D0" w:rsidRDefault="00FE0B8B" w:rsidP="00FE0B8B">
      <w:pPr>
        <w:spacing w:after="0" w:line="240" w:lineRule="auto"/>
        <w:rPr>
          <w:rFonts w:ascii="Calibri" w:eastAsia="Calibri" w:hAnsi="Calibri" w:cs="Calibri"/>
          <w:color w:val="000000" w:themeColor="text1"/>
        </w:rPr>
      </w:pPr>
    </w:p>
    <w:p w:rsidR="00FE0B8B" w:rsidRPr="004F55D0" w:rsidRDefault="00FE0B8B" w:rsidP="00FE0B8B">
      <w:pPr>
        <w:spacing w:after="0" w:line="240" w:lineRule="auto"/>
        <w:rPr>
          <w:rFonts w:ascii="Calibri" w:eastAsia="Calibri" w:hAnsi="Calibri" w:cs="Calibri"/>
          <w:color w:val="000000" w:themeColor="text1"/>
        </w:rPr>
      </w:pPr>
      <w:r w:rsidRPr="00B6183B">
        <w:rPr>
          <w:rFonts w:ascii="Calibri" w:eastAsia="Calibri" w:hAnsi="Calibri" w:cs="Calibri"/>
          <w:b/>
          <w:color w:val="2F5496" w:themeColor="accent1" w:themeShade="BF"/>
        </w:rPr>
        <w:t>Plagiarism &amp; Cheating:</w:t>
      </w:r>
      <w:r w:rsidRPr="00B6183B">
        <w:rPr>
          <w:rFonts w:ascii="Calibri" w:eastAsia="Calibri" w:hAnsi="Calibri" w:cs="Calibri"/>
          <w:color w:val="2F5496" w:themeColor="accent1" w:themeShade="BF"/>
        </w:rPr>
        <w:br/>
      </w:r>
      <w:r w:rsidRPr="004F55D0">
        <w:rPr>
          <w:rFonts w:ascii="Calibri" w:eastAsia="Calibri" w:hAnsi="Calibri" w:cs="Calibri"/>
          <w:color w:val="000000" w:themeColor="text1"/>
        </w:rPr>
        <w:br/>
        <w:t xml:space="preserve">There is value in doing and learning from your own work. Please take the time to study and prepare, so you do not have to resort to plagiarism and cheating. </w:t>
      </w:r>
      <w:r w:rsidR="004F55D0" w:rsidRPr="004F55D0">
        <w:rPr>
          <w:rFonts w:ascii="Calibri" w:eastAsia="Calibri" w:hAnsi="Calibri" w:cs="Calibri"/>
          <w:color w:val="000000" w:themeColor="text1"/>
        </w:rPr>
        <w:t xml:space="preserve">Cheating will result in a mark of 0. </w:t>
      </w:r>
      <w:r w:rsidR="004F55D0">
        <w:rPr>
          <w:rFonts w:ascii="Calibri" w:eastAsia="Calibri" w:hAnsi="Calibri" w:cs="Calibri"/>
          <w:color w:val="000000" w:themeColor="text1"/>
        </w:rPr>
        <w:t xml:space="preserve">Plagiarism will result in a re-write and an automatic deduction of </w:t>
      </w:r>
      <w:r w:rsidR="00C51B1C">
        <w:rPr>
          <w:rFonts w:ascii="Calibri" w:eastAsia="Calibri" w:hAnsi="Calibri" w:cs="Calibri"/>
          <w:color w:val="000000" w:themeColor="text1"/>
        </w:rPr>
        <w:t>2</w:t>
      </w:r>
      <w:r w:rsidR="004F55D0">
        <w:rPr>
          <w:rFonts w:ascii="Calibri" w:eastAsia="Calibri" w:hAnsi="Calibri" w:cs="Calibri"/>
          <w:color w:val="000000" w:themeColor="text1"/>
        </w:rPr>
        <w:t xml:space="preserve">0% </w:t>
      </w:r>
      <w:r w:rsidR="00B6183B">
        <w:rPr>
          <w:rFonts w:ascii="Calibri" w:eastAsia="Calibri" w:hAnsi="Calibri" w:cs="Calibri"/>
          <w:color w:val="000000" w:themeColor="text1"/>
        </w:rPr>
        <w:t xml:space="preserve">of the mark on the first offense. The next offense will result in a re-write and 50% deduction. </w:t>
      </w:r>
      <w:r w:rsidR="004F55D0">
        <w:rPr>
          <w:rFonts w:ascii="Calibri" w:eastAsia="Calibri" w:hAnsi="Calibri" w:cs="Calibri"/>
          <w:color w:val="000000" w:themeColor="text1"/>
        </w:rPr>
        <w:t xml:space="preserve"> </w:t>
      </w:r>
      <w:r w:rsidR="004F55D0">
        <w:rPr>
          <w:rFonts w:ascii="Calibri" w:eastAsia="Calibri" w:hAnsi="Calibri" w:cs="Calibri"/>
          <w:color w:val="000000" w:themeColor="text1"/>
        </w:rPr>
        <w:br/>
      </w:r>
      <w:r w:rsidR="004F55D0">
        <w:rPr>
          <w:rFonts w:ascii="Calibri" w:eastAsia="Calibri" w:hAnsi="Calibri" w:cs="Calibri"/>
          <w:color w:val="000000" w:themeColor="text1"/>
        </w:rPr>
        <w:br/>
      </w:r>
    </w:p>
    <w:p w:rsidR="00C86F81" w:rsidRDefault="00C86F81" w:rsidP="00C86F81">
      <w:pPr>
        <w:rPr>
          <w:sz w:val="26"/>
          <w:szCs w:val="26"/>
        </w:rPr>
      </w:pPr>
    </w:p>
    <w:p w:rsidR="00C86F81" w:rsidRPr="00B86147" w:rsidRDefault="00C86F81" w:rsidP="00C86F81">
      <w:pPr>
        <w:rPr>
          <w:sz w:val="26"/>
          <w:szCs w:val="26"/>
        </w:rPr>
      </w:pPr>
    </w:p>
    <w:p w:rsidR="00394971" w:rsidRPr="00C86F81" w:rsidRDefault="00394971" w:rsidP="00C86F81">
      <w:pPr>
        <w:rPr>
          <w:lang w:val="en-US"/>
        </w:rPr>
      </w:pPr>
    </w:p>
    <w:sectPr w:rsidR="00394971" w:rsidRPr="00C86F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E044"/>
    <w:multiLevelType w:val="hybridMultilevel"/>
    <w:tmpl w:val="25D0E024"/>
    <w:lvl w:ilvl="0" w:tplc="64AEC566">
      <w:start w:val="1"/>
      <w:numFmt w:val="bullet"/>
      <w:lvlText w:val=""/>
      <w:lvlJc w:val="left"/>
      <w:pPr>
        <w:ind w:left="720" w:hanging="360"/>
      </w:pPr>
      <w:rPr>
        <w:rFonts w:ascii="Symbol" w:hAnsi="Symbol" w:hint="default"/>
      </w:rPr>
    </w:lvl>
    <w:lvl w:ilvl="1" w:tplc="8C7AA5EC">
      <w:start w:val="1"/>
      <w:numFmt w:val="bullet"/>
      <w:lvlText w:val="o"/>
      <w:lvlJc w:val="left"/>
      <w:pPr>
        <w:ind w:left="1440" w:hanging="360"/>
      </w:pPr>
      <w:rPr>
        <w:rFonts w:ascii="Courier New" w:hAnsi="Courier New" w:hint="default"/>
      </w:rPr>
    </w:lvl>
    <w:lvl w:ilvl="2" w:tplc="D388CA6A">
      <w:start w:val="1"/>
      <w:numFmt w:val="bullet"/>
      <w:lvlText w:val=""/>
      <w:lvlJc w:val="left"/>
      <w:pPr>
        <w:ind w:left="2160" w:hanging="360"/>
      </w:pPr>
      <w:rPr>
        <w:rFonts w:ascii="Wingdings" w:hAnsi="Wingdings" w:hint="default"/>
      </w:rPr>
    </w:lvl>
    <w:lvl w:ilvl="3" w:tplc="D20A614E">
      <w:start w:val="1"/>
      <w:numFmt w:val="bullet"/>
      <w:lvlText w:val=""/>
      <w:lvlJc w:val="left"/>
      <w:pPr>
        <w:ind w:left="2880" w:hanging="360"/>
      </w:pPr>
      <w:rPr>
        <w:rFonts w:ascii="Symbol" w:hAnsi="Symbol" w:hint="default"/>
      </w:rPr>
    </w:lvl>
    <w:lvl w:ilvl="4" w:tplc="7DE8B978">
      <w:start w:val="1"/>
      <w:numFmt w:val="bullet"/>
      <w:lvlText w:val="o"/>
      <w:lvlJc w:val="left"/>
      <w:pPr>
        <w:ind w:left="3600" w:hanging="360"/>
      </w:pPr>
      <w:rPr>
        <w:rFonts w:ascii="Courier New" w:hAnsi="Courier New" w:hint="default"/>
      </w:rPr>
    </w:lvl>
    <w:lvl w:ilvl="5" w:tplc="A2307D8A">
      <w:start w:val="1"/>
      <w:numFmt w:val="bullet"/>
      <w:lvlText w:val=""/>
      <w:lvlJc w:val="left"/>
      <w:pPr>
        <w:ind w:left="4320" w:hanging="360"/>
      </w:pPr>
      <w:rPr>
        <w:rFonts w:ascii="Wingdings" w:hAnsi="Wingdings" w:hint="default"/>
      </w:rPr>
    </w:lvl>
    <w:lvl w:ilvl="6" w:tplc="81B0AF8C">
      <w:start w:val="1"/>
      <w:numFmt w:val="bullet"/>
      <w:lvlText w:val=""/>
      <w:lvlJc w:val="left"/>
      <w:pPr>
        <w:ind w:left="5040" w:hanging="360"/>
      </w:pPr>
      <w:rPr>
        <w:rFonts w:ascii="Symbol" w:hAnsi="Symbol" w:hint="default"/>
      </w:rPr>
    </w:lvl>
    <w:lvl w:ilvl="7" w:tplc="3A6A6CEC">
      <w:start w:val="1"/>
      <w:numFmt w:val="bullet"/>
      <w:lvlText w:val="o"/>
      <w:lvlJc w:val="left"/>
      <w:pPr>
        <w:ind w:left="5760" w:hanging="360"/>
      </w:pPr>
      <w:rPr>
        <w:rFonts w:ascii="Courier New" w:hAnsi="Courier New" w:hint="default"/>
      </w:rPr>
    </w:lvl>
    <w:lvl w:ilvl="8" w:tplc="191C8DD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11"/>
    <w:rsid w:val="001B7211"/>
    <w:rsid w:val="00394971"/>
    <w:rsid w:val="004F55D0"/>
    <w:rsid w:val="005D21DF"/>
    <w:rsid w:val="00B6183B"/>
    <w:rsid w:val="00C51B1C"/>
    <w:rsid w:val="00C86F81"/>
    <w:rsid w:val="00CB4E54"/>
    <w:rsid w:val="00F422CE"/>
    <w:rsid w:val="00FA417B"/>
    <w:rsid w:val="00FE0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6E35"/>
  <w15:chartTrackingRefBased/>
  <w15:docId w15:val="{0DB539AB-DFA4-4EFC-8870-00DF3466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17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211"/>
    <w:rPr>
      <w:color w:val="0563C1" w:themeColor="hyperlink"/>
      <w:u w:val="single"/>
    </w:rPr>
  </w:style>
  <w:style w:type="character" w:styleId="UnresolvedMention">
    <w:name w:val="Unresolved Mention"/>
    <w:basedOn w:val="DefaultParagraphFont"/>
    <w:uiPriority w:val="99"/>
    <w:semiHidden/>
    <w:unhideWhenUsed/>
    <w:rsid w:val="001B7211"/>
    <w:rPr>
      <w:color w:val="605E5C"/>
      <w:shd w:val="clear" w:color="auto" w:fill="E1DFDD"/>
    </w:rPr>
  </w:style>
  <w:style w:type="paragraph" w:customStyle="1" w:styleId="paragraph">
    <w:name w:val="paragraph"/>
    <w:basedOn w:val="Normal"/>
    <w:rsid w:val="001B721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FA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417B"/>
    <w:rPr>
      <w:rFonts w:asciiTheme="majorHAnsi" w:eastAsiaTheme="majorEastAsia" w:hAnsiTheme="majorHAnsi" w:cstheme="majorBidi"/>
      <w:color w:val="2F5496" w:themeColor="accent1" w:themeShade="BF"/>
      <w:sz w:val="32"/>
      <w:szCs w:val="32"/>
      <w:lang w:val="en-US"/>
    </w:rPr>
  </w:style>
  <w:style w:type="character" w:customStyle="1" w:styleId="normaltextrun">
    <w:name w:val="normaltextrun"/>
    <w:basedOn w:val="DefaultParagraphFont"/>
    <w:uiPriority w:val="1"/>
    <w:rsid w:val="00C86F81"/>
  </w:style>
  <w:style w:type="paragraph" w:styleId="ListParagraph">
    <w:name w:val="List Paragraph"/>
    <w:basedOn w:val="Normal"/>
    <w:uiPriority w:val="34"/>
    <w:qFormat/>
    <w:rsid w:val="00C86F8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637028">
      <w:bodyDiv w:val="1"/>
      <w:marLeft w:val="0"/>
      <w:marRight w:val="0"/>
      <w:marTop w:val="0"/>
      <w:marBottom w:val="0"/>
      <w:divBdr>
        <w:top w:val="none" w:sz="0" w:space="0" w:color="auto"/>
        <w:left w:val="none" w:sz="0" w:space="0" w:color="auto"/>
        <w:bottom w:val="none" w:sz="0" w:space="0" w:color="auto"/>
        <w:right w:val="none" w:sz="0" w:space="0" w:color="auto"/>
      </w:divBdr>
      <w:divsChild>
        <w:div w:id="360981790">
          <w:marLeft w:val="0"/>
          <w:marRight w:val="0"/>
          <w:marTop w:val="0"/>
          <w:marBottom w:val="0"/>
          <w:divBdr>
            <w:top w:val="none" w:sz="0" w:space="0" w:color="auto"/>
            <w:left w:val="none" w:sz="0" w:space="0" w:color="auto"/>
            <w:bottom w:val="none" w:sz="0" w:space="0" w:color="auto"/>
            <w:right w:val="none" w:sz="0" w:space="0" w:color="auto"/>
          </w:divBdr>
        </w:div>
        <w:div w:id="577403401">
          <w:marLeft w:val="0"/>
          <w:marRight w:val="0"/>
          <w:marTop w:val="0"/>
          <w:marBottom w:val="0"/>
          <w:divBdr>
            <w:top w:val="none" w:sz="0" w:space="0" w:color="auto"/>
            <w:left w:val="none" w:sz="0" w:space="0" w:color="auto"/>
            <w:bottom w:val="none" w:sz="0" w:space="0" w:color="auto"/>
            <w:right w:val="none" w:sz="0" w:space="0" w:color="auto"/>
          </w:divBdr>
          <w:divsChild>
            <w:div w:id="1940021165">
              <w:marLeft w:val="0"/>
              <w:marRight w:val="0"/>
              <w:marTop w:val="30"/>
              <w:marBottom w:val="30"/>
              <w:divBdr>
                <w:top w:val="none" w:sz="0" w:space="0" w:color="auto"/>
                <w:left w:val="none" w:sz="0" w:space="0" w:color="auto"/>
                <w:bottom w:val="none" w:sz="0" w:space="0" w:color="auto"/>
                <w:right w:val="none" w:sz="0" w:space="0" w:color="auto"/>
              </w:divBdr>
              <w:divsChild>
                <w:div w:id="1973705350">
                  <w:marLeft w:val="0"/>
                  <w:marRight w:val="0"/>
                  <w:marTop w:val="0"/>
                  <w:marBottom w:val="0"/>
                  <w:divBdr>
                    <w:top w:val="none" w:sz="0" w:space="0" w:color="auto"/>
                    <w:left w:val="none" w:sz="0" w:space="0" w:color="auto"/>
                    <w:bottom w:val="none" w:sz="0" w:space="0" w:color="auto"/>
                    <w:right w:val="none" w:sz="0" w:space="0" w:color="auto"/>
                  </w:divBdr>
                  <w:divsChild>
                    <w:div w:id="19672667">
                      <w:marLeft w:val="0"/>
                      <w:marRight w:val="0"/>
                      <w:marTop w:val="0"/>
                      <w:marBottom w:val="0"/>
                      <w:divBdr>
                        <w:top w:val="none" w:sz="0" w:space="0" w:color="auto"/>
                        <w:left w:val="none" w:sz="0" w:space="0" w:color="auto"/>
                        <w:bottom w:val="none" w:sz="0" w:space="0" w:color="auto"/>
                        <w:right w:val="none" w:sz="0" w:space="0" w:color="auto"/>
                      </w:divBdr>
                    </w:div>
                  </w:divsChild>
                </w:div>
                <w:div w:id="1752118212">
                  <w:marLeft w:val="0"/>
                  <w:marRight w:val="0"/>
                  <w:marTop w:val="0"/>
                  <w:marBottom w:val="0"/>
                  <w:divBdr>
                    <w:top w:val="none" w:sz="0" w:space="0" w:color="auto"/>
                    <w:left w:val="none" w:sz="0" w:space="0" w:color="auto"/>
                    <w:bottom w:val="none" w:sz="0" w:space="0" w:color="auto"/>
                    <w:right w:val="none" w:sz="0" w:space="0" w:color="auto"/>
                  </w:divBdr>
                  <w:divsChild>
                    <w:div w:id="1969583085">
                      <w:marLeft w:val="0"/>
                      <w:marRight w:val="0"/>
                      <w:marTop w:val="0"/>
                      <w:marBottom w:val="0"/>
                      <w:divBdr>
                        <w:top w:val="none" w:sz="0" w:space="0" w:color="auto"/>
                        <w:left w:val="none" w:sz="0" w:space="0" w:color="auto"/>
                        <w:bottom w:val="none" w:sz="0" w:space="0" w:color="auto"/>
                        <w:right w:val="none" w:sz="0" w:space="0" w:color="auto"/>
                      </w:divBdr>
                    </w:div>
                  </w:divsChild>
                </w:div>
                <w:div w:id="1478109173">
                  <w:marLeft w:val="0"/>
                  <w:marRight w:val="0"/>
                  <w:marTop w:val="0"/>
                  <w:marBottom w:val="0"/>
                  <w:divBdr>
                    <w:top w:val="none" w:sz="0" w:space="0" w:color="auto"/>
                    <w:left w:val="none" w:sz="0" w:space="0" w:color="auto"/>
                    <w:bottom w:val="none" w:sz="0" w:space="0" w:color="auto"/>
                    <w:right w:val="none" w:sz="0" w:space="0" w:color="auto"/>
                  </w:divBdr>
                  <w:divsChild>
                    <w:div w:id="2051803753">
                      <w:marLeft w:val="0"/>
                      <w:marRight w:val="0"/>
                      <w:marTop w:val="0"/>
                      <w:marBottom w:val="0"/>
                      <w:divBdr>
                        <w:top w:val="none" w:sz="0" w:space="0" w:color="auto"/>
                        <w:left w:val="none" w:sz="0" w:space="0" w:color="auto"/>
                        <w:bottom w:val="none" w:sz="0" w:space="0" w:color="auto"/>
                        <w:right w:val="none" w:sz="0" w:space="0" w:color="auto"/>
                      </w:divBdr>
                    </w:div>
                  </w:divsChild>
                </w:div>
                <w:div w:id="894780621">
                  <w:marLeft w:val="0"/>
                  <w:marRight w:val="0"/>
                  <w:marTop w:val="0"/>
                  <w:marBottom w:val="0"/>
                  <w:divBdr>
                    <w:top w:val="none" w:sz="0" w:space="0" w:color="auto"/>
                    <w:left w:val="none" w:sz="0" w:space="0" w:color="auto"/>
                    <w:bottom w:val="none" w:sz="0" w:space="0" w:color="auto"/>
                    <w:right w:val="none" w:sz="0" w:space="0" w:color="auto"/>
                  </w:divBdr>
                  <w:divsChild>
                    <w:div w:id="2007857175">
                      <w:marLeft w:val="0"/>
                      <w:marRight w:val="0"/>
                      <w:marTop w:val="0"/>
                      <w:marBottom w:val="0"/>
                      <w:divBdr>
                        <w:top w:val="none" w:sz="0" w:space="0" w:color="auto"/>
                        <w:left w:val="none" w:sz="0" w:space="0" w:color="auto"/>
                        <w:bottom w:val="none" w:sz="0" w:space="0" w:color="auto"/>
                        <w:right w:val="none" w:sz="0" w:space="0" w:color="auto"/>
                      </w:divBdr>
                    </w:div>
                  </w:divsChild>
                </w:div>
                <w:div w:id="536505397">
                  <w:marLeft w:val="0"/>
                  <w:marRight w:val="0"/>
                  <w:marTop w:val="0"/>
                  <w:marBottom w:val="0"/>
                  <w:divBdr>
                    <w:top w:val="none" w:sz="0" w:space="0" w:color="auto"/>
                    <w:left w:val="none" w:sz="0" w:space="0" w:color="auto"/>
                    <w:bottom w:val="none" w:sz="0" w:space="0" w:color="auto"/>
                    <w:right w:val="none" w:sz="0" w:space="0" w:color="auto"/>
                  </w:divBdr>
                  <w:divsChild>
                    <w:div w:id="2116904834">
                      <w:marLeft w:val="0"/>
                      <w:marRight w:val="0"/>
                      <w:marTop w:val="0"/>
                      <w:marBottom w:val="0"/>
                      <w:divBdr>
                        <w:top w:val="none" w:sz="0" w:space="0" w:color="auto"/>
                        <w:left w:val="none" w:sz="0" w:space="0" w:color="auto"/>
                        <w:bottom w:val="none" w:sz="0" w:space="0" w:color="auto"/>
                        <w:right w:val="none" w:sz="0" w:space="0" w:color="auto"/>
                      </w:divBdr>
                    </w:div>
                  </w:divsChild>
                </w:div>
                <w:div w:id="1254899124">
                  <w:marLeft w:val="0"/>
                  <w:marRight w:val="0"/>
                  <w:marTop w:val="0"/>
                  <w:marBottom w:val="0"/>
                  <w:divBdr>
                    <w:top w:val="none" w:sz="0" w:space="0" w:color="auto"/>
                    <w:left w:val="none" w:sz="0" w:space="0" w:color="auto"/>
                    <w:bottom w:val="none" w:sz="0" w:space="0" w:color="auto"/>
                    <w:right w:val="none" w:sz="0" w:space="0" w:color="auto"/>
                  </w:divBdr>
                  <w:divsChild>
                    <w:div w:id="16736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onne.yu@pattisonhighschoo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2024-01-12T01:11:00Z</dcterms:created>
  <dcterms:modified xsi:type="dcterms:W3CDTF">2024-02-09T01:30:00Z</dcterms:modified>
</cp:coreProperties>
</file>